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[Date]</w:t>
      </w:r>
    </w:p>
    <w:p>
      <w:pPr>
        <w:spacing w:after="0"/>
      </w:pPr>
      <w:r>
        <w:t>Secretary to the Commission</w:t>
      </w:r>
    </w:p>
    <w:p>
      <w:pPr>
        <w:spacing w:after="0"/>
      </w:pPr>
      <w:r>
        <w:t>Public Service Commission of Wisconsin</w:t>
      </w:r>
    </w:p>
    <w:p>
      <w:pPr>
        <w:spacing w:after="0"/>
      </w:pPr>
      <w:r>
        <w:t>4822 Madison Yards Way</w:t>
      </w:r>
    </w:p>
    <w:p>
      <w:pPr>
        <w:spacing w:after="0"/>
      </w:pPr>
      <w:r>
        <w:t>Madison, WI 53705</w:t>
      </w:r>
    </w:p>
    <w:p/>
    <w:p>
      <w:r>
        <w:rPr>
          <w:b/>
        </w:rPr>
        <w:t>Re: Docket 2708-NC-100, Application of Midcontinent Grid Solutions Wisconsin, LLC, for a Certificate of Authority to Operate as a Public Utility in Wisconsin</w:t>
      </w:r>
    </w:p>
    <w:p>
      <w:r>
        <w:t>To the Commission:</w:t>
      </w:r>
    </w:p>
    <w:p>
      <w:r>
        <w:t>We write as members of the Wisconsin Legislature to ask the Commission to hold a full public hearing on the application of Midcontinent Grid Solutions Wisconsin, LLC (MGS Wisconsin) to operate as a public utility in Wisconsin, and to decide the application on that record.</w:t>
      </w:r>
    </w:p>
    <w:p>
      <w:r>
        <w:t>MGS Wisconsin is the developer of BECI, a proposed 765 kV transmission line. Its application, filed June 4, 2026, asks the Commission to declare 18 sections of chapter 196 “not presently applicable” to it, and to find that “MGS Wisconsin and its upstream affiliates are not subject to the provisions of Wis. Stat. § 196.795 regulating holding companies and holding company systems.”</w:t>
      </w:r>
    </w:p>
    <w:p>
      <w:r>
        <w:t>Four parties have asked the Commission for a hearing: the Wisconsin Utilities Association, WPPI Energy, Dairyland Power Cooperative and the Lake Wisconsin Land and Community Alliance. MGS Wisconsin has told the Commission it “is mindful that the Commission has broad discretion on whether to hold a hearing in this docket.” When ITC Midwest applied for the same kind of certificate (docket 2707-NC-100), the Commission’s notice of November 4, 2013 made the case “a Class 1 proceeding,” and the Commission held technical and public hearings in 2014.</w:t>
      </w:r>
    </w:p>
    <w:p>
      <w:r>
        <w:t>Once the Commission issues a notice opening the docket, it has 90 days to decide without a hearing. If it holds a hearing, it has 180 days from the notice of hearing. The chairperson may add up to 90 or 180 more days for good cause. If the Commission misses the deadline, the law says it “is considered to have issued a certificate of authority” (Wis. Stat. § 196.49(5r)).</w:t>
      </w:r>
    </w:p>
    <w:p>
      <w:r>
        <w:t>We ask the Commission to announce a full public hearing in the notice that opens this docket, with a public session where residents can speak, and to decide on that record before the legal deadline, so that no certificate is issued by default. A hearing gives the Commission a complete public record, whatever it decides.</w:t>
      </w:r>
    </w:p>
    <w:p>
      <w:r>
        <w:t>Please place this letter in docket 2708-NC-100.</w:t>
      </w:r>
    </w:p>
    <w:p>
      <w:r>
        <w:t>Sincerely,</w:t>
      </w:r>
    </w:p>
    <w:p>
      <w:r>
        <w:br/>
        <w:br/>
        <w:t>________________________________</w:t>
        <w:br/>
        <w:t>Name, Senate or Assembly District</w:t>
      </w:r>
    </w:p>
    <w:p>
      <w:r>
        <w:br/>
        <w:br/>
        <w:t>________________________________</w:t>
        <w:br/>
        <w:t>Name, Senate or Assembly District</w:t>
      </w:r>
    </w:p>
    <w:p>
      <w:r>
        <w:br/>
        <w:br/>
        <w:t>________________________________</w:t>
        <w:br/>
        <w:t>Name, Senate or Assembly District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